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9F511" w14:textId="39CA160F" w:rsidR="004B29CD" w:rsidRDefault="00185B3A" w:rsidP="00185B3A">
      <w:pPr>
        <w:jc w:val="center"/>
        <w:rPr>
          <w:b/>
          <w:bCs/>
          <w:sz w:val="28"/>
          <w:szCs w:val="28"/>
          <w:u w:val="single"/>
        </w:rPr>
      </w:pPr>
      <w:r>
        <w:rPr>
          <w:b/>
          <w:bCs/>
          <w:sz w:val="28"/>
          <w:szCs w:val="28"/>
          <w:u w:val="single"/>
        </w:rPr>
        <w:t>COMFORT KITS</w:t>
      </w:r>
    </w:p>
    <w:p w14:paraId="2744D9CD" w14:textId="3D409443" w:rsidR="00185B3A" w:rsidRDefault="00185B3A" w:rsidP="00185B3A">
      <w:pPr>
        <w:rPr>
          <w:b/>
          <w:bCs/>
        </w:rPr>
      </w:pPr>
      <w:r>
        <w:rPr>
          <w:b/>
          <w:bCs/>
        </w:rPr>
        <w:t>Comfort Kits</w:t>
      </w:r>
    </w:p>
    <w:p w14:paraId="09209F4B" w14:textId="0D38685D" w:rsidR="00185B3A" w:rsidRPr="00185B3A" w:rsidRDefault="00185B3A" w:rsidP="00185B3A">
      <w:pPr>
        <w:pStyle w:val="ListParagraph"/>
        <w:numPr>
          <w:ilvl w:val="0"/>
          <w:numId w:val="1"/>
        </w:numPr>
        <w:rPr>
          <w:b/>
          <w:bCs/>
        </w:rPr>
      </w:pPr>
      <w:r>
        <w:t>Comfort kit medications and/or dosages are altered by the Hospice team based upon clinical and psychological situations, such as:</w:t>
      </w:r>
    </w:p>
    <w:p w14:paraId="0843C148" w14:textId="0DE64DDE" w:rsidR="00185B3A" w:rsidRPr="00185B3A" w:rsidRDefault="00185B3A" w:rsidP="00185B3A">
      <w:pPr>
        <w:pStyle w:val="ListParagraph"/>
        <w:numPr>
          <w:ilvl w:val="0"/>
          <w:numId w:val="2"/>
        </w:numPr>
        <w:rPr>
          <w:b/>
          <w:bCs/>
        </w:rPr>
      </w:pPr>
      <w:r>
        <w:t>Dementia, majority of comfort kit medications (opioids, anticholinergics, benzodiazepines) can cause serious side effects in patients with all types of dementia. Haloperidol can worsen symptoms in patients with Parkinson’s disease and dementia with Lewy bodies and should be eliminated from the kit</w:t>
      </w:r>
    </w:p>
    <w:p w14:paraId="337C3090" w14:textId="115D599D" w:rsidR="00185B3A" w:rsidRDefault="00185B3A" w:rsidP="00185B3A">
      <w:pPr>
        <w:rPr>
          <w:b/>
          <w:bCs/>
        </w:rPr>
      </w:pPr>
      <w:r>
        <w:rPr>
          <w:b/>
          <w:bCs/>
        </w:rPr>
        <w:t>Comfort Kits Procedure</w:t>
      </w:r>
    </w:p>
    <w:p w14:paraId="4C2A6328" w14:textId="3094D5A2" w:rsidR="00185B3A" w:rsidRPr="00185B3A" w:rsidRDefault="00185B3A" w:rsidP="00185B3A">
      <w:pPr>
        <w:pStyle w:val="ListParagraph"/>
        <w:numPr>
          <w:ilvl w:val="0"/>
          <w:numId w:val="1"/>
        </w:numPr>
        <w:rPr>
          <w:b/>
          <w:bCs/>
        </w:rPr>
      </w:pPr>
      <w:r>
        <w:t>Comfort kits are ordered upon admission or during the Hospice stay</w:t>
      </w:r>
    </w:p>
    <w:p w14:paraId="691910A5" w14:textId="36F574E5" w:rsidR="00185B3A" w:rsidRPr="00185B3A" w:rsidRDefault="00185B3A" w:rsidP="00185B3A">
      <w:pPr>
        <w:pStyle w:val="ListParagraph"/>
        <w:numPr>
          <w:ilvl w:val="0"/>
          <w:numId w:val="1"/>
        </w:numPr>
        <w:rPr>
          <w:b/>
          <w:bCs/>
        </w:rPr>
      </w:pPr>
      <w:r>
        <w:t>The Admission Nurse will identify the need for the Comfort Kit upon admission and obtain an order from the attending physician</w:t>
      </w:r>
    </w:p>
    <w:p w14:paraId="62ACF192" w14:textId="583A08D3" w:rsidR="00185B3A" w:rsidRPr="00185B3A" w:rsidRDefault="00185B3A" w:rsidP="00185B3A">
      <w:pPr>
        <w:pStyle w:val="ListParagraph"/>
        <w:numPr>
          <w:ilvl w:val="0"/>
          <w:numId w:val="1"/>
        </w:numPr>
        <w:rPr>
          <w:b/>
          <w:bCs/>
        </w:rPr>
      </w:pPr>
      <w:r>
        <w:t>If the need for a Comfort Kit arises during the Hospice stay, the primary nurse will obtain an order from the attending physician</w:t>
      </w:r>
    </w:p>
    <w:p w14:paraId="2C1C1617" w14:textId="05917DF6" w:rsidR="00185B3A" w:rsidRPr="00210693" w:rsidRDefault="00185B3A" w:rsidP="00185B3A">
      <w:pPr>
        <w:pStyle w:val="ListParagraph"/>
        <w:numPr>
          <w:ilvl w:val="0"/>
          <w:numId w:val="1"/>
        </w:numPr>
        <w:rPr>
          <w:b/>
          <w:bCs/>
        </w:rPr>
      </w:pPr>
      <w:r>
        <w:t>If the attending physician is not available to provide a timely order for a Comfort Kit in an urgent situation, an order may be obtained</w:t>
      </w:r>
      <w:r w:rsidR="00210693">
        <w:t xml:space="preserve"> from the Medical Director (MD or NP)</w:t>
      </w:r>
    </w:p>
    <w:p w14:paraId="64BC1200" w14:textId="36A50B67" w:rsidR="00210693" w:rsidRPr="00210693" w:rsidRDefault="00210693" w:rsidP="00185B3A">
      <w:pPr>
        <w:pStyle w:val="ListParagraph"/>
        <w:numPr>
          <w:ilvl w:val="0"/>
          <w:numId w:val="1"/>
        </w:numPr>
        <w:rPr>
          <w:b/>
          <w:bCs/>
        </w:rPr>
      </w:pPr>
      <w:r>
        <w:t>The availability of a reasonable caregiver will be assessed at admission by the Admission Nurse, and throughout the Hospice stay by the primary nurse and other members of the IDT</w:t>
      </w:r>
    </w:p>
    <w:p w14:paraId="1D15DB95" w14:textId="59729313" w:rsidR="00210693" w:rsidRPr="0007242D" w:rsidRDefault="0007242D" w:rsidP="00185B3A">
      <w:pPr>
        <w:pStyle w:val="ListParagraph"/>
        <w:numPr>
          <w:ilvl w:val="0"/>
          <w:numId w:val="1"/>
        </w:numPr>
        <w:rPr>
          <w:b/>
          <w:bCs/>
        </w:rPr>
      </w:pPr>
      <w:r>
        <w:t>Upon admission and throughout the Hospice stay, the IDT will assess patient and caregivers for signs/symptoms of substance abuse/diversion</w:t>
      </w:r>
    </w:p>
    <w:p w14:paraId="47432BF7" w14:textId="39109D2F" w:rsidR="0007242D" w:rsidRPr="000D7DF2" w:rsidRDefault="000D7DF2" w:rsidP="00185B3A">
      <w:pPr>
        <w:pStyle w:val="ListParagraph"/>
        <w:numPr>
          <w:ilvl w:val="0"/>
          <w:numId w:val="1"/>
        </w:numPr>
        <w:rPr>
          <w:b/>
          <w:bCs/>
        </w:rPr>
      </w:pPr>
      <w:r>
        <w:t>The presence of diagnosis of dementia and severe chronic renal failure will be assessed on admission and throughout the Hospice stay to identify situations where the use of the standard Comfort Kit is contraindicated</w:t>
      </w:r>
    </w:p>
    <w:p w14:paraId="74E3FBAD" w14:textId="77777777" w:rsidR="000D7DF2" w:rsidRDefault="000D7DF2" w:rsidP="000D7DF2">
      <w:pPr>
        <w:pStyle w:val="ListParagraph"/>
        <w:rPr>
          <w:b/>
          <w:bCs/>
        </w:rPr>
      </w:pPr>
    </w:p>
    <w:p w14:paraId="19FB0421" w14:textId="0D115A4A" w:rsidR="000D7DF2" w:rsidRPr="000D7DF2" w:rsidRDefault="000D7DF2" w:rsidP="000D7DF2">
      <w:pPr>
        <w:pStyle w:val="ListParagraph"/>
        <w:rPr>
          <w:b/>
          <w:bCs/>
        </w:rPr>
      </w:pPr>
      <w:r>
        <w:rPr>
          <w:b/>
          <w:bCs/>
        </w:rPr>
        <w:t>COMFORT KIT</w:t>
      </w:r>
    </w:p>
    <w:tbl>
      <w:tblPr>
        <w:tblStyle w:val="TableGrid"/>
        <w:tblW w:w="0" w:type="auto"/>
        <w:tblLook w:val="04A0" w:firstRow="1" w:lastRow="0" w:firstColumn="1" w:lastColumn="0" w:noHBand="0" w:noVBand="1"/>
      </w:tblPr>
      <w:tblGrid>
        <w:gridCol w:w="1270"/>
        <w:gridCol w:w="3685"/>
        <w:gridCol w:w="1752"/>
        <w:gridCol w:w="4083"/>
      </w:tblGrid>
      <w:tr w:rsidR="000D7DF2" w14:paraId="2B79A887" w14:textId="77777777" w:rsidTr="000D7DF2">
        <w:tc>
          <w:tcPr>
            <w:tcW w:w="1316" w:type="dxa"/>
          </w:tcPr>
          <w:p w14:paraId="39934242" w14:textId="38FBBDB3" w:rsidR="000D7DF2" w:rsidRDefault="000D7DF2" w:rsidP="000D7DF2">
            <w:pPr>
              <w:jc w:val="center"/>
              <w:rPr>
                <w:b/>
                <w:bCs/>
              </w:rPr>
            </w:pPr>
            <w:r>
              <w:rPr>
                <w:b/>
                <w:bCs/>
              </w:rPr>
              <w:t>START</w:t>
            </w:r>
          </w:p>
        </w:tc>
        <w:tc>
          <w:tcPr>
            <w:tcW w:w="3968" w:type="dxa"/>
          </w:tcPr>
          <w:p w14:paraId="61619F50" w14:textId="6E32B97E" w:rsidR="000D7DF2" w:rsidRDefault="000D7DF2" w:rsidP="000D7DF2">
            <w:pPr>
              <w:jc w:val="center"/>
              <w:rPr>
                <w:b/>
                <w:bCs/>
              </w:rPr>
            </w:pPr>
            <w:r>
              <w:rPr>
                <w:b/>
                <w:bCs/>
              </w:rPr>
              <w:t>PRN MEDICATIONS</w:t>
            </w:r>
          </w:p>
        </w:tc>
        <w:tc>
          <w:tcPr>
            <w:tcW w:w="1752" w:type="dxa"/>
          </w:tcPr>
          <w:p w14:paraId="7929A8E2" w14:textId="66FFD75F" w:rsidR="000D7DF2" w:rsidRDefault="000D7DF2" w:rsidP="000D7DF2">
            <w:pPr>
              <w:jc w:val="center"/>
              <w:rPr>
                <w:b/>
                <w:bCs/>
              </w:rPr>
            </w:pPr>
            <w:r>
              <w:rPr>
                <w:b/>
                <w:bCs/>
              </w:rPr>
              <w:t>SPECIAL INSTRUCTIONS</w:t>
            </w:r>
          </w:p>
        </w:tc>
        <w:tc>
          <w:tcPr>
            <w:tcW w:w="2314" w:type="dxa"/>
          </w:tcPr>
          <w:p w14:paraId="4E40EAB9" w14:textId="183938FD" w:rsidR="000D7DF2" w:rsidRDefault="000D7DF2" w:rsidP="000D7DF2">
            <w:pPr>
              <w:jc w:val="center"/>
              <w:rPr>
                <w:b/>
                <w:bCs/>
              </w:rPr>
            </w:pPr>
            <w:r>
              <w:rPr>
                <w:b/>
                <w:bCs/>
              </w:rPr>
              <w:t>DRUG CLASS</w:t>
            </w:r>
          </w:p>
        </w:tc>
      </w:tr>
      <w:tr w:rsidR="000D7DF2" w14:paraId="36AA1EAE" w14:textId="77777777" w:rsidTr="000D7DF2">
        <w:tc>
          <w:tcPr>
            <w:tcW w:w="1316" w:type="dxa"/>
          </w:tcPr>
          <w:p w14:paraId="75431D67" w14:textId="7FF5DA5A" w:rsidR="000D7DF2" w:rsidRPr="000D7DF2" w:rsidRDefault="000D7DF2" w:rsidP="000D7DF2">
            <w:r>
              <w:t>1/10/24</w:t>
            </w:r>
          </w:p>
        </w:tc>
        <w:tc>
          <w:tcPr>
            <w:tcW w:w="3968" w:type="dxa"/>
          </w:tcPr>
          <w:p w14:paraId="2ACBFADF" w14:textId="2C648021" w:rsidR="000D7DF2" w:rsidRPr="000D7DF2" w:rsidRDefault="000D7DF2" w:rsidP="000D7DF2">
            <w:r>
              <w:t>Acetaminophen 650mg oral every 4 hours PRN fever</w:t>
            </w:r>
          </w:p>
        </w:tc>
        <w:tc>
          <w:tcPr>
            <w:tcW w:w="1752" w:type="dxa"/>
          </w:tcPr>
          <w:p w14:paraId="6E63F9A0" w14:textId="77777777" w:rsidR="000D7DF2" w:rsidRDefault="000D7DF2" w:rsidP="000D7DF2">
            <w:pPr>
              <w:rPr>
                <w:b/>
                <w:bCs/>
              </w:rPr>
            </w:pPr>
          </w:p>
        </w:tc>
        <w:tc>
          <w:tcPr>
            <w:tcW w:w="2314" w:type="dxa"/>
          </w:tcPr>
          <w:p w14:paraId="0C6C6D4F" w14:textId="5C97871B" w:rsidR="000D7DF2" w:rsidRPr="000D7DF2" w:rsidRDefault="000D7DF2" w:rsidP="000D7DF2">
            <w:r>
              <w:t>Miscellaneous analgesic/Agency</w:t>
            </w:r>
          </w:p>
        </w:tc>
      </w:tr>
      <w:tr w:rsidR="000D7DF2" w14:paraId="4851E347" w14:textId="77777777" w:rsidTr="000D7DF2">
        <w:tc>
          <w:tcPr>
            <w:tcW w:w="1316" w:type="dxa"/>
          </w:tcPr>
          <w:p w14:paraId="3767CEC8" w14:textId="13069E5C" w:rsidR="000D7DF2" w:rsidRPr="000D7DF2" w:rsidRDefault="000D7DF2" w:rsidP="000D7DF2">
            <w:r>
              <w:t>1/10/24</w:t>
            </w:r>
          </w:p>
        </w:tc>
        <w:tc>
          <w:tcPr>
            <w:tcW w:w="3968" w:type="dxa"/>
          </w:tcPr>
          <w:p w14:paraId="247492C5" w14:textId="51D0DCD7" w:rsidR="000D7DF2" w:rsidRPr="000D7DF2" w:rsidRDefault="000D7DF2" w:rsidP="000D7DF2">
            <w:r w:rsidRPr="000D7DF2">
              <w:t>Acetaminophen suppository 650mg rectal every 4 hours PRN fever</w:t>
            </w:r>
          </w:p>
        </w:tc>
        <w:tc>
          <w:tcPr>
            <w:tcW w:w="1752" w:type="dxa"/>
          </w:tcPr>
          <w:p w14:paraId="272F4751" w14:textId="596FEF52" w:rsidR="000D7DF2" w:rsidRDefault="000D7DF2" w:rsidP="000D7DF2">
            <w:pPr>
              <w:rPr>
                <w:b/>
                <w:bCs/>
              </w:rPr>
            </w:pPr>
            <w:r>
              <w:t>1 suppository</w:t>
            </w:r>
          </w:p>
        </w:tc>
        <w:tc>
          <w:tcPr>
            <w:tcW w:w="2314" w:type="dxa"/>
          </w:tcPr>
          <w:p w14:paraId="5BCFA74C" w14:textId="3F9CC2F0" w:rsidR="000D7DF2" w:rsidRDefault="000D7DF2" w:rsidP="000D7DF2">
            <w:pPr>
              <w:rPr>
                <w:b/>
                <w:bCs/>
              </w:rPr>
            </w:pPr>
            <w:r>
              <w:t>Miscellaneous analgesic/Agency</w:t>
            </w:r>
          </w:p>
        </w:tc>
      </w:tr>
      <w:tr w:rsidR="000D7DF2" w14:paraId="257E92ED" w14:textId="77777777" w:rsidTr="000D7DF2">
        <w:tc>
          <w:tcPr>
            <w:tcW w:w="1316" w:type="dxa"/>
          </w:tcPr>
          <w:p w14:paraId="0888FE60" w14:textId="24B2F075" w:rsidR="000D7DF2" w:rsidRPr="000D7DF2" w:rsidRDefault="000D7DF2" w:rsidP="000D7DF2">
            <w:r w:rsidRPr="000D7DF2">
              <w:t>1/10/24</w:t>
            </w:r>
          </w:p>
        </w:tc>
        <w:tc>
          <w:tcPr>
            <w:tcW w:w="3968" w:type="dxa"/>
          </w:tcPr>
          <w:p w14:paraId="0A936BB7" w14:textId="5A68CBCB" w:rsidR="000D7DF2" w:rsidRPr="000D7DF2" w:rsidRDefault="000D7DF2" w:rsidP="000D7DF2">
            <w:r>
              <w:t>Bisacodyl 10mg rectal once a day PRN constipation</w:t>
            </w:r>
          </w:p>
        </w:tc>
        <w:tc>
          <w:tcPr>
            <w:tcW w:w="1752" w:type="dxa"/>
          </w:tcPr>
          <w:p w14:paraId="5497FFDB" w14:textId="3A90600F" w:rsidR="000D7DF2" w:rsidRPr="000D7DF2" w:rsidRDefault="000D7DF2" w:rsidP="000D7DF2">
            <w:r>
              <w:t>1 suppository</w:t>
            </w:r>
          </w:p>
        </w:tc>
        <w:tc>
          <w:tcPr>
            <w:tcW w:w="2314" w:type="dxa"/>
          </w:tcPr>
          <w:p w14:paraId="663F4D1F" w14:textId="19E572A1" w:rsidR="000D7DF2" w:rsidRPr="000D7DF2" w:rsidRDefault="000D7DF2" w:rsidP="000D7DF2">
            <w:r>
              <w:t>Laxatives/agency</w:t>
            </w:r>
          </w:p>
        </w:tc>
      </w:tr>
      <w:tr w:rsidR="000D7DF2" w14:paraId="6E578D52" w14:textId="77777777" w:rsidTr="000D7DF2">
        <w:tc>
          <w:tcPr>
            <w:tcW w:w="1316" w:type="dxa"/>
          </w:tcPr>
          <w:p w14:paraId="03D760D3" w14:textId="302E14D2" w:rsidR="000D7DF2" w:rsidRPr="000D7DF2" w:rsidRDefault="000D7DF2" w:rsidP="000D7DF2">
            <w:r>
              <w:t>1/10/24</w:t>
            </w:r>
          </w:p>
        </w:tc>
        <w:tc>
          <w:tcPr>
            <w:tcW w:w="3968" w:type="dxa"/>
          </w:tcPr>
          <w:p w14:paraId="78AA2024" w14:textId="2BD80E1F" w:rsidR="000D7DF2" w:rsidRPr="000D7DF2" w:rsidRDefault="000D7DF2" w:rsidP="000D7DF2">
            <w:r>
              <w:t>Haloperidol 0.5-1 mg oral every 6 hours PRN</w:t>
            </w:r>
          </w:p>
        </w:tc>
        <w:tc>
          <w:tcPr>
            <w:tcW w:w="1752" w:type="dxa"/>
          </w:tcPr>
          <w:p w14:paraId="31A00CB3" w14:textId="16C3276A" w:rsidR="000D7DF2" w:rsidRPr="000D7DF2" w:rsidRDefault="000D7DF2" w:rsidP="000D7DF2">
            <w:r>
              <w:t>2mg/1ml</w:t>
            </w:r>
          </w:p>
        </w:tc>
        <w:tc>
          <w:tcPr>
            <w:tcW w:w="2314" w:type="dxa"/>
          </w:tcPr>
          <w:p w14:paraId="6414002C" w14:textId="28C81FEF" w:rsidR="000D7DF2" w:rsidRPr="000D7DF2" w:rsidRDefault="000D7DF2" w:rsidP="000D7DF2">
            <w:r>
              <w:t>Miscellaneous antipsychotic agents(agency)</w:t>
            </w:r>
          </w:p>
        </w:tc>
      </w:tr>
      <w:tr w:rsidR="000D7DF2" w14:paraId="7A378435" w14:textId="77777777" w:rsidTr="000D7DF2">
        <w:tc>
          <w:tcPr>
            <w:tcW w:w="1316" w:type="dxa"/>
          </w:tcPr>
          <w:p w14:paraId="2FD56DDD" w14:textId="327E84FB" w:rsidR="000D7DF2" w:rsidRPr="000D7DF2" w:rsidRDefault="000D7DF2" w:rsidP="000D7DF2">
            <w:r>
              <w:t>1/10/24</w:t>
            </w:r>
          </w:p>
        </w:tc>
        <w:tc>
          <w:tcPr>
            <w:tcW w:w="3968" w:type="dxa"/>
          </w:tcPr>
          <w:p w14:paraId="29E4807E" w14:textId="7CD35886" w:rsidR="000D7DF2" w:rsidRPr="000D7DF2" w:rsidRDefault="00671FBF" w:rsidP="000D7DF2">
            <w:r>
              <w:t xml:space="preserve">Hyoscyamine tablet 0.125 mg sublingual every 4 hours PRN secretion/noisy </w:t>
            </w:r>
            <w:proofErr w:type="spellStart"/>
            <w:r>
              <w:t>respirat</w:t>
            </w:r>
            <w:proofErr w:type="spellEnd"/>
          </w:p>
        </w:tc>
        <w:tc>
          <w:tcPr>
            <w:tcW w:w="1752" w:type="dxa"/>
          </w:tcPr>
          <w:p w14:paraId="3E222702" w14:textId="7076AF04" w:rsidR="000D7DF2" w:rsidRPr="000D7DF2" w:rsidRDefault="00671FBF" w:rsidP="000D7DF2">
            <w:r>
              <w:t>.25mg/ml</w:t>
            </w:r>
          </w:p>
        </w:tc>
        <w:tc>
          <w:tcPr>
            <w:tcW w:w="2314" w:type="dxa"/>
          </w:tcPr>
          <w:p w14:paraId="3F3F4B46" w14:textId="073A8940" w:rsidR="000D7DF2" w:rsidRPr="000D7DF2" w:rsidRDefault="00671FBF" w:rsidP="000D7DF2">
            <w:r>
              <w:t>Anticholinergics/antispasmodics/Agency</w:t>
            </w:r>
          </w:p>
        </w:tc>
      </w:tr>
      <w:tr w:rsidR="000D7DF2" w14:paraId="581A12A2" w14:textId="77777777" w:rsidTr="000D7DF2">
        <w:tc>
          <w:tcPr>
            <w:tcW w:w="1316" w:type="dxa"/>
          </w:tcPr>
          <w:p w14:paraId="3ED7E5E8" w14:textId="3AE31E4E" w:rsidR="000D7DF2" w:rsidRPr="000D7DF2" w:rsidRDefault="00671FBF" w:rsidP="000D7DF2">
            <w:r>
              <w:t>1/10/24</w:t>
            </w:r>
          </w:p>
        </w:tc>
        <w:tc>
          <w:tcPr>
            <w:tcW w:w="3968" w:type="dxa"/>
          </w:tcPr>
          <w:p w14:paraId="7B9BCA79" w14:textId="2844798A" w:rsidR="000D7DF2" w:rsidRPr="000D7DF2" w:rsidRDefault="00671FBF" w:rsidP="000D7DF2">
            <w:r>
              <w:t>Lorazepam 0.25-1 mg oral every 6 hours PRN anxiety or agitation</w:t>
            </w:r>
          </w:p>
        </w:tc>
        <w:tc>
          <w:tcPr>
            <w:tcW w:w="1752" w:type="dxa"/>
          </w:tcPr>
          <w:p w14:paraId="22B371F4" w14:textId="4A77E7E8" w:rsidR="000D7DF2" w:rsidRPr="000D7DF2" w:rsidRDefault="00671FBF" w:rsidP="000D7DF2">
            <w:r>
              <w:t>20mg/1ml</w:t>
            </w:r>
          </w:p>
        </w:tc>
        <w:tc>
          <w:tcPr>
            <w:tcW w:w="2314" w:type="dxa"/>
          </w:tcPr>
          <w:p w14:paraId="592769FE" w14:textId="396223EF" w:rsidR="000D7DF2" w:rsidRPr="000D7DF2" w:rsidRDefault="00671FBF" w:rsidP="000D7DF2">
            <w:r>
              <w:t>agency</w:t>
            </w:r>
          </w:p>
        </w:tc>
      </w:tr>
      <w:tr w:rsidR="000D7DF2" w14:paraId="7E118774" w14:textId="77777777" w:rsidTr="000D7DF2">
        <w:tc>
          <w:tcPr>
            <w:tcW w:w="1316" w:type="dxa"/>
          </w:tcPr>
          <w:p w14:paraId="7B49B720" w14:textId="50B1F5E0" w:rsidR="000D7DF2" w:rsidRPr="000D7DF2" w:rsidRDefault="00671FBF" w:rsidP="000D7DF2">
            <w:r>
              <w:t>1/10/24</w:t>
            </w:r>
          </w:p>
        </w:tc>
        <w:tc>
          <w:tcPr>
            <w:tcW w:w="3968" w:type="dxa"/>
          </w:tcPr>
          <w:p w14:paraId="56034481" w14:textId="492CA5DC" w:rsidR="000D7DF2" w:rsidRPr="000D7DF2" w:rsidRDefault="00671FBF" w:rsidP="000D7DF2">
            <w:proofErr w:type="spellStart"/>
            <w:r>
              <w:t>Roxanol</w:t>
            </w:r>
            <w:proofErr w:type="spellEnd"/>
            <w:r>
              <w:t xml:space="preserve"> 5-10mg oral/SL every 2 hours PRN pain/respiratory distress</w:t>
            </w:r>
          </w:p>
        </w:tc>
        <w:tc>
          <w:tcPr>
            <w:tcW w:w="1752" w:type="dxa"/>
          </w:tcPr>
          <w:p w14:paraId="5667E8B2" w14:textId="2ACC181A" w:rsidR="000D7DF2" w:rsidRPr="000D7DF2" w:rsidRDefault="00671FBF" w:rsidP="000D7DF2">
            <w:r>
              <w:t>20mg/1ml</w:t>
            </w:r>
          </w:p>
        </w:tc>
        <w:tc>
          <w:tcPr>
            <w:tcW w:w="2314" w:type="dxa"/>
          </w:tcPr>
          <w:p w14:paraId="6B56DAB7" w14:textId="3742EE80" w:rsidR="000D7DF2" w:rsidRPr="000D7DF2" w:rsidRDefault="00671FBF" w:rsidP="000D7DF2">
            <w:r>
              <w:t>agency</w:t>
            </w:r>
          </w:p>
        </w:tc>
      </w:tr>
    </w:tbl>
    <w:p w14:paraId="16CF02DE" w14:textId="77777777" w:rsidR="000D7DF2" w:rsidRPr="000D7DF2" w:rsidRDefault="000D7DF2" w:rsidP="000D7DF2">
      <w:pPr>
        <w:rPr>
          <w:b/>
          <w:bCs/>
        </w:rPr>
      </w:pPr>
    </w:p>
    <w:sectPr w:rsidR="000D7DF2" w:rsidRPr="000D7DF2" w:rsidSect="00671F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0338"/>
    <w:multiLevelType w:val="hybridMultilevel"/>
    <w:tmpl w:val="6DDE7F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771817"/>
    <w:multiLevelType w:val="hybridMultilevel"/>
    <w:tmpl w:val="AD0C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601893">
    <w:abstractNumId w:val="1"/>
  </w:num>
  <w:num w:numId="2" w16cid:durableId="170197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3A"/>
    <w:rsid w:val="0007242D"/>
    <w:rsid w:val="000D7DF2"/>
    <w:rsid w:val="00185B3A"/>
    <w:rsid w:val="00210693"/>
    <w:rsid w:val="004B29CD"/>
    <w:rsid w:val="00671FBF"/>
    <w:rsid w:val="007C4C7B"/>
    <w:rsid w:val="00BF7CAE"/>
    <w:rsid w:val="00C24775"/>
    <w:rsid w:val="00F7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3C8C"/>
  <w15:chartTrackingRefBased/>
  <w15:docId w15:val="{AE8D0F4C-D623-4799-97BD-B65C692E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B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B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B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B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B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B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B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B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B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B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B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B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B3A"/>
    <w:rPr>
      <w:rFonts w:eastAsiaTheme="majorEastAsia" w:cstheme="majorBidi"/>
      <w:color w:val="272727" w:themeColor="text1" w:themeTint="D8"/>
    </w:rPr>
  </w:style>
  <w:style w:type="paragraph" w:styleId="Title">
    <w:name w:val="Title"/>
    <w:basedOn w:val="Normal"/>
    <w:next w:val="Normal"/>
    <w:link w:val="TitleChar"/>
    <w:uiPriority w:val="10"/>
    <w:qFormat/>
    <w:rsid w:val="00185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B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B3A"/>
    <w:pPr>
      <w:spacing w:before="160"/>
      <w:jc w:val="center"/>
    </w:pPr>
    <w:rPr>
      <w:i/>
      <w:iCs/>
      <w:color w:val="404040" w:themeColor="text1" w:themeTint="BF"/>
    </w:rPr>
  </w:style>
  <w:style w:type="character" w:customStyle="1" w:styleId="QuoteChar">
    <w:name w:val="Quote Char"/>
    <w:basedOn w:val="DefaultParagraphFont"/>
    <w:link w:val="Quote"/>
    <w:uiPriority w:val="29"/>
    <w:rsid w:val="00185B3A"/>
    <w:rPr>
      <w:i/>
      <w:iCs/>
      <w:color w:val="404040" w:themeColor="text1" w:themeTint="BF"/>
    </w:rPr>
  </w:style>
  <w:style w:type="paragraph" w:styleId="ListParagraph">
    <w:name w:val="List Paragraph"/>
    <w:basedOn w:val="Normal"/>
    <w:uiPriority w:val="34"/>
    <w:qFormat/>
    <w:rsid w:val="00185B3A"/>
    <w:pPr>
      <w:ind w:left="720"/>
      <w:contextualSpacing/>
    </w:pPr>
  </w:style>
  <w:style w:type="character" w:styleId="IntenseEmphasis">
    <w:name w:val="Intense Emphasis"/>
    <w:basedOn w:val="DefaultParagraphFont"/>
    <w:uiPriority w:val="21"/>
    <w:qFormat/>
    <w:rsid w:val="00185B3A"/>
    <w:rPr>
      <w:i/>
      <w:iCs/>
      <w:color w:val="0F4761" w:themeColor="accent1" w:themeShade="BF"/>
    </w:rPr>
  </w:style>
  <w:style w:type="paragraph" w:styleId="IntenseQuote">
    <w:name w:val="Intense Quote"/>
    <w:basedOn w:val="Normal"/>
    <w:next w:val="Normal"/>
    <w:link w:val="IntenseQuoteChar"/>
    <w:uiPriority w:val="30"/>
    <w:qFormat/>
    <w:rsid w:val="00185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B3A"/>
    <w:rPr>
      <w:i/>
      <w:iCs/>
      <w:color w:val="0F4761" w:themeColor="accent1" w:themeShade="BF"/>
    </w:rPr>
  </w:style>
  <w:style w:type="character" w:styleId="IntenseReference">
    <w:name w:val="Intense Reference"/>
    <w:basedOn w:val="DefaultParagraphFont"/>
    <w:uiPriority w:val="32"/>
    <w:qFormat/>
    <w:rsid w:val="00185B3A"/>
    <w:rPr>
      <w:b/>
      <w:bCs/>
      <w:smallCaps/>
      <w:color w:val="0F4761" w:themeColor="accent1" w:themeShade="BF"/>
      <w:spacing w:val="5"/>
    </w:rPr>
  </w:style>
  <w:style w:type="table" w:styleId="TableGrid">
    <w:name w:val="Table Grid"/>
    <w:basedOn w:val="TableNormal"/>
    <w:uiPriority w:val="39"/>
    <w:rsid w:val="000D7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Leandrea</dc:creator>
  <cp:keywords/>
  <dc:description/>
  <cp:lastModifiedBy>Tsoukalas, Nicole</cp:lastModifiedBy>
  <cp:revision>2</cp:revision>
  <dcterms:created xsi:type="dcterms:W3CDTF">2025-08-27T16:41:00Z</dcterms:created>
  <dcterms:modified xsi:type="dcterms:W3CDTF">2025-08-27T16:41:00Z</dcterms:modified>
</cp:coreProperties>
</file>